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124 vom 30. Januar 2014</w:t>
      </w:r>
    </w:p>
    <w:p>
      <w:r>
        <w:t>GR Gerichte, 2014-01-30, DE</w:t>
      </w:r>
    </w:p>
    <w:p>
      <w:r>
        <w:rPr>
          <w:b/>
        </w:rPr>
        <w:t xml:space="preserve">Quelle: </w:t>
      </w:r>
      <w:r>
        <w:t>https://mcp.opencaselaw.ch/entscheid/gr_gerichte_U 2012 124</w:t>
      </w:r>
    </w:p>
    <w:p>
      <w:r>
        <w:t>FR: GR_GERICHTE U 2012 124 du 30 janvier 2014</w:t>
      </w:r>
    </w:p>
    <w:p>
      <w:r>
        <w:t>IT: GR_GERICHTE U 2012 124 del 30 gennaio 2014</w:t>
      </w:r>
    </w:p>
    <w:p>
      <w:pPr>
        <w:pStyle w:val="Heading2"/>
      </w:pPr>
      <w:r>
        <w:t>Regeste</w:t>
      </w:r>
    </w:p>
    <w:p>
      <w:r>
        <w:t>Stromversorgung/Bezeichnung der Netzgebiete | öffentliche Dienste</w:t>
      </w:r>
    </w:p>
    <w:p>
      <w:pPr>
        <w:pStyle w:val="Heading2"/>
      </w:pPr>
      <w:r>
        <w:t>Erwägungen</w:t>
      </w:r>
    </w:p>
    <w:p>
      <w:r>
        <w:rPr>
          <w:b/>
        </w:rPr>
        <w:t>E. 1</w:t>
      </w:r>
    </w:p>
    <w:p>
      <w:r>
        <w:t>Die Gemeinden O.1._____ und O.2._____ schlossen in den Jahren 1986 (O.2._____) bzw. 1988 (O.1._____) mit der damaligen Elektrizitätswerk C._____ AG, heute A._____ AG, Energielieferverträge ab. Diese wurden vertragsgemäss auf Ende Juni 2001 (O.1._____) bzw. auf Ende Septem- ber 2006 (O.2._____) gekündigt. Neue Verträge wurden nicht unterzeich- net, wobei die A._____ AG bis heute das Verteilernetz betreibt und die Energielieferung für diese beiden Gemeinden sicherstellt.</w:t>
      </w:r>
    </w:p>
    <w:p>
      <w:r>
        <w:rPr>
          <w:b/>
        </w:rPr>
        <w:t>E. 2</w:t>
      </w:r>
    </w:p>
    <w:p>
      <w:r>
        <w:t>Am 23. März 2007 verabschiedeten die eidgenössischen Räte das Bun- desgesetz über die Stromversorgung (StromVG), welches auf den 1. Ja- nuar 2008 teilweise in Kraft getreten ist. Die kantonale Anschlussgesetz- gebung zum StromVG, das Stromversorgungsgesetz des Kantons Graubünden (StromVG GR), wurde vom Grossen Rat am 23. April 2009 erlassen und von der Regierung des Kantons Graubünden (nachfolgend Regierung) auf den 1. September 2009 in Kraft gesetzt.</w:t>
      </w:r>
    </w:p>
    <w:p>
      <w:r>
        <w:rPr>
          <w:b/>
        </w:rPr>
        <w:t>E. 3</w:t>
      </w:r>
    </w:p>
    <w:p>
      <w:r>
        <w:t>Am 4. September 2009 ersuchte das Amt für Energie und Verkehr (nach- folgend AEV) sämtliche Gemeinden, ihren Netzbetreiber bekannt zu ge- ben.</w:t>
      </w:r>
    </w:p>
    <w:p>
      <w:r>
        <w:rPr>
          <w:b/>
        </w:rPr>
        <w:t>E. 4</w:t>
      </w:r>
    </w:p>
    <w:p>
      <w:r>
        <w:t>Die Gemeinden O.1._____ und O.2._____ eröffneten am 8. Juni 2010 einen Wettbewerb für die Vergabe des Verteilnetzbetriebs auf ihren Ge- meindegebieten. Eingeladen wurden die A._____ AG und die B._____ AG, wobei in der Folge nur die B._____ AG am 27. August 2010 den beiden Gemeinden ein entsprechendes Angebot unterbreitete.</w:t>
      </w:r>
    </w:p>
    <w:p>
      <w:r>
        <w:rPr>
          <w:b/>
        </w:rPr>
        <w:t>E. 5</w:t>
      </w:r>
    </w:p>
    <w:p>
      <w:r>
        <w:t>Mit Beschluss vom 6. Juli 2010 bezeichnete die Regierung 68 lokale Ver- teilnetzgebiete. In der Folge wies das AEV diejenigen Gemeinden, welche bis dahin ihre Netzbetreiber noch nicht bekannt gegeben hatten, auf die von der Regierung im genannten Regierungsbeschluss gesetzte Frist bis</w:t>
      </w:r>
    </w:p>
    <w:p>
      <w:r>
        <w:t>- 4 - am 31. Dezember 2010 zur Nennung der Netzbetreiber hin. Mit Schreiben vom 17. Dezember 2010 bezeichneten die Gemeinden O.1._____ und O.2._____ die B._____ AG als ihre Netzbetreiberin, vorbehältlich abwei- chender Beschlüsse der zu diesem Zeitpunkt noch ausstehenden Ge- meindeversammlungen.</w:t>
      </w:r>
    </w:p>
    <w:p>
      <w:r>
        <w:rPr>
          <w:b/>
        </w:rPr>
        <w:t>E. 6</w:t>
      </w:r>
    </w:p>
    <w:p>
      <w:r>
        <w:t>Das AEV teilte daraufhin die Gemeindegebiete von O.1._____ und O.2._____ im Entwurf „Bezeichnung der lokalen Verteilnetzgebiete, Regi- on X._____“ dem lokalen Verteilnetz 111 zu und bezeichnete die B._____ AG als Betreiberin des lokalen Verteilnetzes. Am 4. Februar 2011 eröffnete das AEV das Anhörungsverfahren und forderte die betrof- fenen Parteien auf, allfällige Änderungsbegehren anzubringen. Mit Schreiben vom 16. bzw. vom 18. Februar 2011 teilten die Gemeinden O.1._____ und O.2._____ dem AEV mit, dass sie mit dem Entwurf ein- verstanden seien. Mit Schreiben vom 25. Februar 2011 an das AEV er- klärte die A._____ AG, mit der vorgesehenen Zuteilung der Gemeinden O.1._____ und O.2._____ zum lokalen Verteilnetzgebiet 111 und mit der Bezeichnung der B._____ AG als lokale Verteilnetzbetreiberin nicht ein- verstanden zu sein. Sie beantragte, die Gemeinden O.1._____ und O.2._____ dem lokalen Verteilnetzgebiet 104 zuzuteilen und die A._____ AG als lokale Verteilnetzbetreiberin für diese Gemeinden zu be- zeichnen. Nachdem die Gemeindeversammlungen am 1. April 2011 (O.1._____) bzw. am 29. April 2011 (O.2._____) den Konzessionsverträ- gen mit der B._____ AG zugestimmt hatten, nahmen die beiden Gemein- den mit Eingabe vom 12. Mai 2012 Stellung zu den Anträgen der A._____ AG und beantragten ihrerseits, die beiden Gemeinden seien dem lokalen Verteilnetzgebiet 111 zuzuteilen und die B._____ AG sei als Netzbetreiberin zu bezeichnen. Überdies sei für die Benutzung der im Ei- gentum der A._____ AG stehenden Verteilnetzanlagen durch die B._____ AG eine Duldungsverfügung zu erlassen, sollte zwischen der</w:t>
      </w:r>
    </w:p>
    <w:p>
      <w:r>
        <w:t>- 5 - B._____ AG und der A._____ AG diesbezüglich keine einvernehmliche Lösung erzielt werden. Nach Durchführung eines weiteren Schriftenwech- sels wies die Regierung mit Beschluss vom 22. Oktober 2012 (Prot. Nr. 1020) die Netzgebiete der lokalen Verteilnetze auf den Gemeindege- bieten von O.1._____ und O.2._____ dem lokalen Verteilnetzgebiet 104 zu. Gleichzeitig wurden die Anträge der Gemeinden O.1._____ und O.2._____ hinsichtlich der Netzgebietszuteilung sowie betreffend den Er- lass einer Duldungsverfügung abgewiesen.</w:t>
      </w:r>
    </w:p>
    <w:p>
      <w:r>
        <w:rPr>
          <w:b/>
        </w:rPr>
        <w:t>E. 7</w:t>
      </w:r>
    </w:p>
    <w:p>
      <w:r>
        <w:t>Dagegen erhoben die Gemeinden O.1._____ und O.2._____ (nachfol- gend Beschwerdeführerinnen) am 26. November 2012 Beschwerde an das Verwaltungsgericht des Kantons Graubünden mit folgenden Anträ- gen: 1. Der angefochtene Regierungsbeschluss Protokoll Nr. 1020 vom 22. Oktober 2012 sei aufzuheben. 2. Die beiden Gemeinden O.1._____ und O.2._____ seien dem lokalen Verteilnetzge- biet Nr. 111 zuzuteilen, und B._____ AG sei für diese Gemeinden als lokale Verteil- netzbetreiberin zu bezeichnen. 3. Für die Benutzung der im Eigentum der A._____ AG stehenden Verteilnetzanlagen in den beiden Gemeinden durch die B._____ AG sei durch das Verwaltungsgericht eine Duldungsverfügung zu erlassen, falls zwischen der Netzeigentümerin und der neuen Netzbetreiberin keine einvernehmliche Lösung erzielt werden kann. Dabei seien die Verhältnisse zwischen der Netzeigentümerin und der Netzbetreiberin, ins- besondere auch die gegenseitigen Leistungspflichten festzulegen. 4. Allenfalls sei die Angelegenheit an die Regierung zurückzuweisen zum Erlass einer Verfügung im Sinne unserer Begehren. Begründend führten die Beschwerdeführerinnen im Wesentlichen aus, es sei Sache der Gemeinden, den Netzbetreiber zu bestimmen und diesen dem Kanton mitzuteilen. Die Anknüpfung an das Eigentum allein sei nicht sachgerecht und rechtswidrig. Der angefochtene Regierungsbeschluss stehe im Widerspruch zu den Regelungen von Bund und Kantonen betref- fend Netzgebietszuteilung. Ferner gehe damit ein Verstoss gegen den</w:t>
      </w:r>
    </w:p>
    <w:p>
      <w:r>
        <w:t>- 6 - Grundsatz einher, wonach die Gemeinden für die raumplanerischen Er- schliessungsaufgaben zuständig seien. Schliesslich machten die Be- schwerdeführerinnen eine Verletzung von Art. 27 ZGB sowie des Grund- satzes der Unveräusserlichkeit der öffentlichen Gewalt geltend.</w:t>
      </w:r>
    </w:p>
    <w:p>
      <w:r>
        <w:rPr>
          <w:b/>
        </w:rPr>
        <w:t>E. 8</w:t>
      </w:r>
    </w:p>
    <w:p>
      <w:r>
        <w:t>Die A._____ AG beantragte in ihrer Vernehmlassung vom 28. Januar 2013 die Abweisung der Beschwerde. Der Regierung stehe bei der Aus- wahl der Netzbetreiber kaum ein Ermessenspielraum zu. Denn bei der Netzgebietszuweisung seien die bisherigen Eigentums- und Betriebsver- hältnisse an der Netzinfrastruktur zu wahren. Dementsprechend habe die Regierung bereits aufgrund der bundesrechtlichen Vorgaben zur Netzge- bietszuteilung nicht die Kompetenz, ihr als Netzeigentümerin und bisheri- ge Netzbetreiberin die Gemeindegebiete von O.1._____ und O.2._____ zu entziehen. Eine Übertragung der Rechte zur Erfüllung der mit der Netzzuteilung verbundenen Pflichten an B._____ AG würde eine Verlet- zung des verfassungsmässig garantierten Eigentumsrechts und der Wirt- schaftsfreiheit der A._____ AG als bisheriger Netzeigentümerin und Netz- betreiberin darstellen und könnte nur auf dem Wege der Enteignung er- folgen. Eine Enteignung sei aber weder in der Stromversorgungsgesetz- gebung vorgesehen, noch käme eine solche mangels Vorliegen der Vor- aussetzungen zur Einschränkung der Grundrechte gemäss Art. 36 BV in Frage. Im Übrigen sei auch gemäss StromVG GR vom Eigentum als primärem Zuteilungskriterium auszugehen. Das Institut der Duldungsver- fügung beziehe sich sodann auf den vorliegend nicht relevanten Fall der freiwilligen Überlassung des Netzbetriebes vom Netzeigentümer an einen Dritten. Weiter setze eine gemäss Art. 27 ZGB das Recht verletzende Einschränkung der Freiheit voraus, dass überhaupt ein entsprechender Gestaltungsspielraum bestehe, was vorliegend gerade nicht der Fall sei, da den Gemeinden aufgrund des Bundesrechts keine Möglichkeit verblei-</w:t>
      </w:r>
    </w:p>
    <w:p>
      <w:r>
        <w:t>- 7 - be, gegen den Willen des Netzeigentümers einen anderen Netzbetreiber zu wählen.</w:t>
      </w:r>
    </w:p>
    <w:p>
      <w:r>
        <w:rPr>
          <w:b/>
        </w:rPr>
        <w:t>E. 9</w:t>
      </w:r>
    </w:p>
    <w:p>
      <w:r>
        <w:t>Die Regierung beantragte in ihrer Vernehmlassung vom 29. Januar 2013 ebenfalls die Abweisung der Beschwerde. Als Verfügungsadressaten kä- men dem Wortlaut von Art. 5 Abs. 1 StromVG nach nur die bereits im Kanton tätigen Netzbetreiber in Frage. Bei der Netzgebietszuteilung sei zudem der verfassungsmässige Schutz des Eigentums zu berücksichti- gen, und es seien die bisherigen Organisationsstrukturen und Betriebs- verhältnisse zu wahren. Dementsprechend verbleibe den Kantonen und Gemeinden für die Bezeichnung der Netzbetreiber nur ein ganz be- schränkter Spielraum. Sofern das Netzeigentum und der Netzbetrieb wie vorliegend bisher zusammengefallen seien, sei im Lichte der bundes- rechtlichen Vorgaben die Bezeichnung eines anderen als des Netzei- gentümers (und bisherigen Betreibers) nicht möglich, zumindest nicht oh- ne dessen Einverständnis und solange dieser eine sichere und effiziente Stromversorgung garantieren könne. Folglich seien auch die Regeln, wel- che das kantonale Recht für die Zuweisung der Netzgebiete definiert ha- be (Art. 4 Abs. 3 StromVG GR) in dem Sinne zu relativieren, dass die Netzgebiete grundsätzlich jeweils dem Netzeigentümer zuzuweisen seien. Die übrigen in Art. 4 Abs. 3 StromVG GR genannten Kriterien (vertragli- che Verhältnisse hinsichtlich Bau, Betrieb und Unterhalt des Elektrizitäts- netzes sowie die Gewährleistung einer sicheren und effizienten Stromver- sorgung) hätten ihren Ursprung in den gänzlich unterschiedlichen, histo- risch gewachsenen Organisationsstrukturen hinsichtlich der lokalen Ver- teilnetze im Kanton Graubünden.</w:t>
      </w:r>
    </w:p>
    <w:p>
      <w:r>
        <w:t>- 8 -</w:t>
      </w:r>
    </w:p>
    <w:p>
      <w:r>
        <w:rPr>
          <w:b/>
        </w:rPr>
        <w:t>E. 10</w:t>
      </w:r>
    </w:p>
    <w:p>
      <w:r>
        <w:t>a) Zusammenfassend lässt sich somit festhalten, dass vorliegend angesichts der einschlägigen Gesetzesbestimmungen den bisherigen Eigentums- und Betriebsverhältnissen entsprechend die Beschwerdeführerinnen dem lokalen Verteilnetz 104 mit der A._____ AG als Netzbetreiberin zuzuteilen sind. Die von den Beschwerdeführerinnen beantragte hoheitliche Struk- turveränderung gegen den Willen der bisherigen Netzbetreiberin und Net- zeigentümerin A._____ AG stünde sowohl im Widerspruch zu den eid- genössischen wie auch zu den kantonalen Bestimmungen der Stromver- sorgungsgesetzgebung. Dementsprechend erweist sich der angefochtene Regierungsbeschluss vom 22. Oktober 2012 (Prot. Nr. 1020) als rech- tens, was zur Abweisung der Beschwerde führt. b) Bei diesem Ausgang des Verfahrens gehen die Gerichtskosten gestützt auf Art. 73 Abs. 1 des Gesetzes über die Verwaltungsrechtspflege (VRG; BR 370.100) zulasten der Beschwerdeführerinnen. Von der Auferlegung von Gerichtskosten an die beigeladene B._____ AG kann abgesehen werden, da sie sich nicht am Verfahren beteiligt hat. Gemäss Art. 78 Abs. 2 VRG wird Bund, Kanton und Gemeinden sowie mit öffentlich-</w:t>
      </w:r>
    </w:p>
    <w:p>
      <w:r>
        <w:t>- 25 - rechtlichen Aufgaben betrauten Organisationen in der Regel keine Partei- entschädigung zugesprochen, wenn sie in ihrem amtlichen Wirkungskreis obsiegen. Davon abzuweichen besteht vorliegend kein Anlass, weshalb die Regierung keinen Anspruch auf eine Parteientschädigung hat. Auch die ebenfalls obsiegenden A._____ AG hat praxisgemäss keinen An- spruch auf eine aussergerichtliche Entschädigung, da sie nicht anwaltlich vertreten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